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HUROM WYGRYWA PRZED EUROPEJSKIM SĄDEM – WYCIŚKARKI KUVINGS Z ZAKAZEM SPRZEDAŻY W UNII EUROPEJSKIEJ</w:t>
      </w:r>
    </w:p>
    <w:p>
      <w:pPr>
        <w:spacing w:before="0" w:after="500" w:line="264" w:lineRule="auto"/>
      </w:pPr>
      <w:r>
        <w:rPr>
          <w:rFonts w:ascii="calibri" w:hAnsi="calibri" w:eastAsia="calibri" w:cs="calibri"/>
          <w:sz w:val="36"/>
          <w:szCs w:val="36"/>
          <w:b/>
        </w:rPr>
        <w:t xml:space="preserve">Gdy innowacje spotykają się z naruszeniem, milczenie nie wchodzi w grę.</w:t>
      </w:r>
    </w:p>
    <w:p>
      <w:r>
        <w:rPr>
          <w:rFonts w:ascii="calibri" w:hAnsi="calibri" w:eastAsia="calibri" w:cs="calibri"/>
          <w:sz w:val="36"/>
          <w:szCs w:val="36"/>
          <w:b/>
        </w:rPr>
        <w:t xml:space="preserve"> Dla firmy Hurom, lidera w dziedzinie wolnoobrotowego wyciskania soków i twórcy pierwszej na świecie pionowej wyciskarki, technologia to nie tylko zestaw rozwiązań — to misja, idea i zobowiązanie wobec klientów. Dlatego, gdy opatentowane konstrukcje zostały skopiowane przez konkurencyjną markę Kuvings, Hurom nie zawahał się stanąć w obronie swoich praw.</w:t>
      </w:r>
    </w:p>
    <w:p>
      <w:r>
        <w:rPr>
          <w:rFonts w:ascii="calibri" w:hAnsi="calibri" w:eastAsia="calibri" w:cs="calibri"/>
          <w:sz w:val="36"/>
          <w:szCs w:val="36"/>
          <w:b/>
        </w:rPr>
        <w:t xml:space="preserve"> </w:t>
      </w:r>
    </w:p>
    <w:p>
      <w:r>
        <w:rPr>
          <w:rFonts w:ascii="calibri" w:hAnsi="calibri" w:eastAsia="calibri" w:cs="calibri"/>
          <w:sz w:val="36"/>
          <w:szCs w:val="36"/>
          <w:b/>
        </w:rPr>
        <w:t xml:space="preserve"> Po miesiącach postępowania, Zunifikowany Sąd Patentowy (UPC) w Mannheim wydał wyrok, który bezprecedensowo wzmacnia pozycję Hurom na rynku europejskim. Decyzja sądu zakazuje firmie NUC, producentowi wyciskarek Kuvings, dalszej sprzedaży ich urządzeń na terytorium całej Unii Europejskiej. Każda jednostkowa sprzedaż objęta jest karą 2 000 euro, a całość wyroku obejmuje również obowiązek wycofania produktów z rynku, zniszczenia zapasów oraz pokrycia strat i kosztów postępowania.</w:t>
      </w:r>
    </w:p>
    <w:p>
      <w:r>
        <w:rPr>
          <w:rFonts w:ascii="calibri" w:hAnsi="calibri" w:eastAsia="calibri" w:cs="calibri"/>
          <w:sz w:val="36"/>
          <w:szCs w:val="36"/>
          <w:b/>
        </w:rPr>
        <w:t xml:space="preserve"> </w:t>
      </w:r>
    </w:p>
    <w:p>
      <w:r>
        <w:rPr>
          <w:rFonts w:ascii="calibri" w:hAnsi="calibri" w:eastAsia="calibri" w:cs="calibri"/>
          <w:sz w:val="36"/>
          <w:szCs w:val="36"/>
          <w:b/>
        </w:rPr>
        <w:t xml:space="preserve"> To przełomowe rozstrzygnięcie ma jednak wymiar szerszy niż tylko prawny. Dla Hurom to symboliczna wygrana w walce o uczciwość, autentyczność i ochronę innowacji. Dla klientów – potwierdzenie, że wybierając oryginalne technologie, wybierają również jakość, bezpieczeństwo i uczciwość marki.</w:t>
      </w:r>
    </w:p>
    <w:p>
      <w:r>
        <w:rPr>
          <w:rFonts w:ascii="calibri" w:hAnsi="calibri" w:eastAsia="calibri" w:cs="calibri"/>
          <w:sz w:val="36"/>
          <w:szCs w:val="36"/>
          <w:b/>
        </w:rPr>
        <w:t xml:space="preserve"> Jak komentuje Jaewon Kim, prezes Hurom Co., Ltd.:</w:t>
      </w:r>
    </w:p>
    <w:p>
      <w:r>
        <w:rPr>
          <w:rFonts w:ascii="calibri" w:hAnsi="calibri" w:eastAsia="calibri" w:cs="calibri"/>
          <w:sz w:val="36"/>
          <w:szCs w:val="36"/>
          <w:b/>
        </w:rPr>
        <w:t xml:space="preserve"> „Nie akceptujemy praktyk polegających na kopiowaniu naszych rozwiązań i oferowaniu ich w formie tanich substytutów. Będziemy konsekwentnie reagować na każdą próbę naruszenia naszej własności intelektualnej.”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HUROM WYGRYWA PRZED EUROPEJSKIM SĄDEM – WYCIŚKARKI KUVINGS Z ZAKAZEM SPRZEDAŻY W UNII EUROPEJSKIEJ</w:t>
      </w:r>
    </w:p>
    <w:p>
      <w:pPr>
        <w:spacing w:before="0" w:after="300"/>
      </w:pPr>
      <w:r>
        <w:rPr>
          <w:rFonts w:ascii="calibri" w:hAnsi="calibri" w:eastAsia="calibri" w:cs="calibri"/>
          <w:sz w:val="24"/>
          <w:szCs w:val="24"/>
          <w:b/>
        </w:rPr>
        <w:t xml:space="preserve">Mannheim / Seul, 7 kwietnia 2025 r.</w:t>
      </w:r>
      <w:r>
        <w:rPr>
          <w:rFonts w:ascii="calibri" w:hAnsi="calibri" w:eastAsia="calibri" w:cs="calibri"/>
          <w:sz w:val="24"/>
          <w:szCs w:val="24"/>
        </w:rPr>
        <w:t xml:space="preserve"> – Firma </w:t>
      </w:r>
      <w:r>
        <w:rPr>
          <w:rFonts w:ascii="calibri" w:hAnsi="calibri" w:eastAsia="calibri" w:cs="calibri"/>
          <w:sz w:val="24"/>
          <w:szCs w:val="24"/>
          <w:b/>
        </w:rPr>
        <w:t xml:space="preserve">Hurom Co., Ltd.</w:t>
      </w:r>
      <w:r>
        <w:rPr>
          <w:rFonts w:ascii="calibri" w:hAnsi="calibri" w:eastAsia="calibri" w:cs="calibri"/>
          <w:sz w:val="24"/>
          <w:szCs w:val="24"/>
        </w:rPr>
        <w:t xml:space="preserve">, globalny lider w dziedzinie pionowej technologii wolnoobrotowego wyciskania soków, uzyskała </w:t>
      </w:r>
      <w:r>
        <w:rPr>
          <w:rFonts w:ascii="calibri" w:hAnsi="calibri" w:eastAsia="calibri" w:cs="calibri"/>
          <w:sz w:val="24"/>
          <w:szCs w:val="24"/>
          <w:b/>
        </w:rPr>
        <w:t xml:space="preserve">przełomowy wyrok przed Zunifikowanym Sądem Patentowym (UPC)</w:t>
      </w:r>
      <w:r>
        <w:rPr>
          <w:rFonts w:ascii="calibri" w:hAnsi="calibri" w:eastAsia="calibri" w:cs="calibri"/>
          <w:sz w:val="24"/>
          <w:szCs w:val="24"/>
        </w:rPr>
        <w:t xml:space="preserve">. Sąd w Mannheim orzekł, że </w:t>
      </w:r>
      <w:r>
        <w:rPr>
          <w:rFonts w:ascii="calibri" w:hAnsi="calibri" w:eastAsia="calibri" w:cs="calibri"/>
          <w:sz w:val="24"/>
          <w:szCs w:val="24"/>
          <w:b/>
        </w:rPr>
        <w:t xml:space="preserve">NUC Electronics Co., Ltd.</w:t>
      </w:r>
      <w:r>
        <w:rPr>
          <w:rFonts w:ascii="calibri" w:hAnsi="calibri" w:eastAsia="calibri" w:cs="calibri"/>
          <w:sz w:val="24"/>
          <w:szCs w:val="24"/>
        </w:rPr>
        <w:t xml:space="preserve">, producent wyciskarek sprzedawanych pod marką </w:t>
      </w:r>
      <w:r>
        <w:rPr>
          <w:rFonts w:ascii="calibri" w:hAnsi="calibri" w:eastAsia="calibri" w:cs="calibri"/>
          <w:sz w:val="24"/>
          <w:szCs w:val="24"/>
          <w:b/>
        </w:rPr>
        <w:t xml:space="preserve">Kuvings</w:t>
      </w:r>
      <w:r>
        <w:rPr>
          <w:rFonts w:ascii="calibri" w:hAnsi="calibri" w:eastAsia="calibri" w:cs="calibri"/>
          <w:sz w:val="24"/>
          <w:szCs w:val="24"/>
        </w:rPr>
        <w:t xml:space="preserve">, </w:t>
      </w:r>
      <w:r>
        <w:rPr>
          <w:rFonts w:ascii="calibri" w:hAnsi="calibri" w:eastAsia="calibri" w:cs="calibri"/>
          <w:sz w:val="24"/>
          <w:szCs w:val="24"/>
          <w:b/>
        </w:rPr>
        <w:t xml:space="preserve">naruszył europejski patent Hurom nr EP2028981</w:t>
      </w:r>
      <w:r>
        <w:rPr>
          <w:rFonts w:ascii="calibri" w:hAnsi="calibri" w:eastAsia="calibri" w:cs="calibri"/>
          <w:sz w:val="24"/>
          <w:szCs w:val="24"/>
        </w:rPr>
        <w:t xml:space="preserve">. W konsekwencji wydano </w:t>
      </w:r>
      <w:r>
        <w:rPr>
          <w:rFonts w:ascii="calibri" w:hAnsi="calibri" w:eastAsia="calibri" w:cs="calibri"/>
          <w:sz w:val="24"/>
          <w:szCs w:val="24"/>
          <w:b/>
        </w:rPr>
        <w:t xml:space="preserve">bezterminowy zakaz sprzedaży i dystrybucji produktów Kuvings na terytorium całej Unii Europejskiej</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Przełomowe orzeczenie: zakaz sprzedaży, kary i wycofanie z rynku</w:t>
      </w:r>
    </w:p>
    <w:p>
      <w:pPr>
        <w:spacing w:before="0" w:after="300"/>
      </w:pPr>
      <w:r>
        <w:rPr>
          <w:rFonts w:ascii="calibri" w:hAnsi="calibri" w:eastAsia="calibri" w:cs="calibri"/>
          <w:sz w:val="24"/>
          <w:szCs w:val="24"/>
        </w:rPr>
        <w:t xml:space="preserve">Zgodnie z treścią wyroku z dnia </w:t>
      </w:r>
      <w:r>
        <w:rPr>
          <w:rFonts w:ascii="calibri" w:hAnsi="calibri" w:eastAsia="calibri" w:cs="calibri"/>
          <w:sz w:val="24"/>
          <w:szCs w:val="24"/>
          <w:b/>
        </w:rPr>
        <w:t xml:space="preserve">11 marca 2025 r.</w:t>
      </w:r>
      <w:r>
        <w:rPr>
          <w:rFonts w:ascii="calibri" w:hAnsi="calibri" w:eastAsia="calibri" w:cs="calibri"/>
          <w:sz w:val="24"/>
          <w:szCs w:val="24"/>
        </w:rPr>
        <w:t xml:space="preserve">, firma NUC oraz jej europejskie oddziały i dystrybutorzy, w tym spółka </w:t>
      </w:r>
      <w:r>
        <w:rPr>
          <w:rFonts w:ascii="calibri" w:hAnsi="calibri" w:eastAsia="calibri" w:cs="calibri"/>
          <w:sz w:val="24"/>
          <w:szCs w:val="24"/>
          <w:b/>
        </w:rPr>
        <w:t xml:space="preserve">Warmcook</w:t>
      </w:r>
      <w:r>
        <w:rPr>
          <w:rFonts w:ascii="calibri" w:hAnsi="calibri" w:eastAsia="calibri" w:cs="calibri"/>
          <w:sz w:val="24"/>
          <w:szCs w:val="24"/>
        </w:rPr>
        <w:t xml:space="preserve">, dopuścili się naruszenia praw wyłącznych przysługujących Hurom. W efekcie: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został objęty </w:t>
      </w:r>
      <w:r>
        <w:rPr>
          <w:rFonts w:ascii="calibri" w:hAnsi="calibri" w:eastAsia="calibri" w:cs="calibri"/>
          <w:sz w:val="24"/>
          <w:szCs w:val="24"/>
          <w:b/>
        </w:rPr>
        <w:t xml:space="preserve">całkowitym zakazem sprzedaży i dystrybucji</w:t>
      </w:r>
      <w:r>
        <w:rPr>
          <w:rFonts w:ascii="calibri" w:hAnsi="calibri" w:eastAsia="calibri" w:cs="calibri"/>
          <w:sz w:val="24"/>
          <w:szCs w:val="24"/>
        </w:rPr>
        <w:t xml:space="preserve"> urządzeń Kuvings w UE,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Każda jednostka sprzedanego produktu naruszającego patent skutkować będzie </w:t>
      </w:r>
      <w:r>
        <w:rPr>
          <w:rFonts w:ascii="calibri" w:hAnsi="calibri" w:eastAsia="calibri" w:cs="calibri"/>
          <w:sz w:val="24"/>
          <w:szCs w:val="24"/>
          <w:b/>
        </w:rPr>
        <w:t xml:space="preserve">karą finansową w wysokości 2 000 EUR</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Nałożono obowiązek </w:t>
      </w:r>
      <w:r>
        <w:rPr>
          <w:rFonts w:ascii="calibri" w:hAnsi="calibri" w:eastAsia="calibri" w:cs="calibri"/>
          <w:sz w:val="24"/>
          <w:szCs w:val="24"/>
          <w:b/>
        </w:rPr>
        <w:t xml:space="preserve">wypłaty odszkodowania na rzecz Hurom</w:t>
      </w:r>
      <w:r>
        <w:rPr>
          <w:rFonts w:ascii="calibri" w:hAnsi="calibri" w:eastAsia="calibri" w:cs="calibri"/>
          <w:sz w:val="24"/>
          <w:szCs w:val="24"/>
        </w:rPr>
        <w:t xml:space="preserve">, którego wysokość zostanie ustalona w osobnym postępowaniu,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zobowiązano do </w:t>
      </w:r>
      <w:r>
        <w:rPr>
          <w:rFonts w:ascii="calibri" w:hAnsi="calibri" w:eastAsia="calibri" w:cs="calibri"/>
          <w:sz w:val="24"/>
          <w:szCs w:val="24"/>
          <w:b/>
        </w:rPr>
        <w:t xml:space="preserve">pokrycia pełnych kosztów postępowania sądowego</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Sąd nakazał także </w:t>
      </w:r>
      <w:r>
        <w:rPr>
          <w:rFonts w:ascii="calibri" w:hAnsi="calibri" w:eastAsia="calibri" w:cs="calibri"/>
          <w:sz w:val="24"/>
          <w:szCs w:val="24"/>
          <w:b/>
        </w:rPr>
        <w:t xml:space="preserve">wycofanie z obrotu handlowego oraz fizyczne zniszczenie</w:t>
      </w:r>
      <w:r>
        <w:rPr>
          <w:rFonts w:ascii="calibri" w:hAnsi="calibri" w:eastAsia="calibri" w:cs="calibri"/>
          <w:sz w:val="24"/>
          <w:szCs w:val="24"/>
        </w:rPr>
        <w:t xml:space="preserve"> urządzeń objętych naruszeniem – w tym </w:t>
      </w:r>
      <w:r>
        <w:rPr>
          <w:rFonts w:ascii="calibri" w:hAnsi="calibri" w:eastAsia="calibri" w:cs="calibri"/>
          <w:sz w:val="24"/>
          <w:szCs w:val="24"/>
          <w:b/>
        </w:rPr>
        <w:t xml:space="preserve">modelu Kuvings AUTO10</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Dalsze sukcesy Hurom na arenie międzynarodowej</w:t>
      </w:r>
    </w:p>
    <w:p>
      <w:pPr>
        <w:spacing w:before="0" w:after="300"/>
      </w:pPr>
      <w:r>
        <w:rPr>
          <w:rFonts w:ascii="calibri" w:hAnsi="calibri" w:eastAsia="calibri" w:cs="calibri"/>
          <w:sz w:val="24"/>
          <w:szCs w:val="24"/>
        </w:rPr>
        <w:t xml:space="preserve">Europejski wyrok to nie pierwsze zwycięstwo Hurom w sporach z firmą NUC.</w:t>
      </w:r>
    </w:p>
    <w:p>
      <w:r>
        <w:rPr>
          <w:rFonts w:ascii="calibri" w:hAnsi="calibri" w:eastAsia="calibri" w:cs="calibri"/>
          <w:sz w:val="24"/>
          <w:szCs w:val="24"/>
        </w:rPr>
        <w:t xml:space="preserve"> W </w:t>
      </w:r>
      <w:r>
        <w:rPr>
          <w:rFonts w:ascii="calibri" w:hAnsi="calibri" w:eastAsia="calibri" w:cs="calibri"/>
          <w:sz w:val="24"/>
          <w:szCs w:val="24"/>
          <w:b/>
        </w:rPr>
        <w:t xml:space="preserve">grudniu 2024 r.</w:t>
      </w:r>
      <w:r>
        <w:rPr>
          <w:rFonts w:ascii="calibri" w:hAnsi="calibri" w:eastAsia="calibri" w:cs="calibri"/>
          <w:sz w:val="24"/>
          <w:szCs w:val="24"/>
        </w:rPr>
        <w:t xml:space="preserve">, </w:t>
      </w:r>
      <w:r>
        <w:rPr>
          <w:rFonts w:ascii="calibri" w:hAnsi="calibri" w:eastAsia="calibri" w:cs="calibri"/>
          <w:sz w:val="24"/>
          <w:szCs w:val="24"/>
          <w:b/>
        </w:rPr>
        <w:t xml:space="preserve">Koreańska Komisja ds. Handlu (KTC)</w:t>
      </w:r>
      <w:r>
        <w:rPr>
          <w:rFonts w:ascii="calibri" w:hAnsi="calibri" w:eastAsia="calibri" w:cs="calibri"/>
          <w:sz w:val="24"/>
          <w:szCs w:val="24"/>
        </w:rPr>
        <w:t xml:space="preserve"> potwierdziła naruszenia patentowe i nieuczciwe praktyki handlowe NUC, nakładając na firmę sankcje administracyjne.</w:t>
      </w:r>
    </w:p>
    <w:p>
      <w:r>
        <w:rPr>
          <w:rFonts w:ascii="calibri" w:hAnsi="calibri" w:eastAsia="calibri" w:cs="calibri"/>
          <w:sz w:val="24"/>
          <w:szCs w:val="24"/>
        </w:rPr>
        <w:t xml:space="preserve"> Z kolei w </w:t>
      </w:r>
      <w:r>
        <w:rPr>
          <w:rFonts w:ascii="calibri" w:hAnsi="calibri" w:eastAsia="calibri" w:cs="calibri"/>
          <w:sz w:val="24"/>
          <w:szCs w:val="24"/>
          <w:b/>
        </w:rPr>
        <w:t xml:space="preserve">lipcu 2024 r.</w:t>
      </w:r>
      <w:r>
        <w:rPr>
          <w:rFonts w:ascii="calibri" w:hAnsi="calibri" w:eastAsia="calibri" w:cs="calibri"/>
          <w:sz w:val="24"/>
          <w:szCs w:val="24"/>
        </w:rPr>
        <w:t xml:space="preserve">, w ramach procedury </w:t>
      </w:r>
      <w:r>
        <w:rPr>
          <w:rFonts w:ascii="calibri" w:hAnsi="calibri" w:eastAsia="calibri" w:cs="calibri"/>
          <w:sz w:val="24"/>
          <w:szCs w:val="24"/>
          <w:b/>
        </w:rPr>
        <w:t xml:space="preserve">Amazon Patent Evaluation Express (APEX)</w:t>
      </w:r>
      <w:r>
        <w:rPr>
          <w:rFonts w:ascii="calibri" w:hAnsi="calibri" w:eastAsia="calibri" w:cs="calibri"/>
          <w:sz w:val="24"/>
          <w:szCs w:val="24"/>
        </w:rPr>
        <w:t xml:space="preserve">, Amazon zawiesił sprzedaż wyciskarek Kuvings w Stanach Zjednoczonych po potwierdzeniu zasadności roszczeń Hurom.</w:t>
      </w:r>
    </w:p>
    <w:p>
      <w:pPr>
        <w:spacing w:before="0" w:after="300"/>
      </w:pPr>
    </w:p>
    <w:p>
      <w:pPr>
        <w:spacing w:before="0" w:after="300"/>
      </w:pPr>
      <w:r>
        <w:rPr>
          <w:rFonts w:ascii="calibri" w:hAnsi="calibri" w:eastAsia="calibri" w:cs="calibri"/>
          <w:sz w:val="24"/>
          <w:szCs w:val="24"/>
          <w:b/>
        </w:rPr>
        <w:t xml:space="preserve">Oświadczenie Prezesa Hurom</w:t>
      </w:r>
    </w:p>
    <w:p>
      <w:pPr>
        <w:spacing w:before="0" w:after="300"/>
      </w:pPr>
      <w:r>
        <w:rPr>
          <w:rFonts w:ascii="calibri" w:hAnsi="calibri" w:eastAsia="calibri" w:cs="calibri"/>
          <w:sz w:val="24"/>
          <w:szCs w:val="24"/>
          <w:b/>
        </w:rPr>
        <w:t xml:space="preserve">Jaewon Kim</w:t>
      </w:r>
      <w:r>
        <w:rPr>
          <w:rFonts w:ascii="calibri" w:hAnsi="calibri" w:eastAsia="calibri" w:cs="calibri"/>
          <w:sz w:val="24"/>
          <w:szCs w:val="24"/>
        </w:rPr>
        <w:t xml:space="preserve">, Prezes Zarządu </w:t>
      </w:r>
      <w:r>
        <w:rPr>
          <w:rFonts w:ascii="calibri" w:hAnsi="calibri" w:eastAsia="calibri" w:cs="calibri"/>
          <w:sz w:val="24"/>
          <w:szCs w:val="24"/>
          <w:b/>
        </w:rPr>
        <w:t xml:space="preserve">Hurom Co., Ltd.</w:t>
      </w:r>
      <w:r>
        <w:rPr>
          <w:rFonts w:ascii="calibri" w:hAnsi="calibri" w:eastAsia="calibri" w:cs="calibri"/>
          <w:sz w:val="24"/>
          <w:szCs w:val="24"/>
        </w:rPr>
        <w:t xml:space="preserve">, odnosząc się do wyroku, podkreślił:</w:t>
      </w:r>
    </w:p>
    <w:p>
      <w:pPr>
        <w:spacing w:before="0" w:after="300"/>
      </w:pPr>
      <w:r>
        <w:rPr>
          <w:rFonts w:ascii="calibri" w:hAnsi="calibri" w:eastAsia="calibri" w:cs="calibri"/>
          <w:sz w:val="24"/>
          <w:szCs w:val="24"/>
        </w:rPr>
        <w:t xml:space="preserve">„Wydane orzeczenie stanowi jednoznaczne potwierdzenie naszej pozycji jako lidera i twórcy pionowej technologii wyciskania. To także ważny sygnał dla całej branży – ochrona innowacji technologicznych musi być respektowana.”</w:t>
      </w:r>
    </w:p>
    <w:p>
      <w:pPr>
        <w:spacing w:before="0" w:after="300"/>
      </w:pPr>
      <w:r>
        <w:rPr>
          <w:rFonts w:ascii="calibri" w:hAnsi="calibri" w:eastAsia="calibri" w:cs="calibri"/>
          <w:sz w:val="24"/>
          <w:szCs w:val="24"/>
        </w:rPr>
        <w:t xml:space="preserve">Dodał także:</w:t>
      </w:r>
    </w:p>
    <w:p>
      <w:pPr>
        <w:spacing w:before="0" w:after="300"/>
      </w:pPr>
      <w:r>
        <w:rPr>
          <w:rFonts w:ascii="calibri" w:hAnsi="calibri" w:eastAsia="calibri" w:cs="calibri"/>
          <w:sz w:val="24"/>
          <w:szCs w:val="24"/>
        </w:rPr>
        <w:t xml:space="preserve">„Hurom będzie niezmiennie dochodzić swoich praw w przypadku naruszeń. Nie akceptujemy praktyk, które polegają na kopiowaniu chronionych rozwiązań i oferowaniu ich jako tanie substytuty, zagrażające jakości i zaufaniu konsumentów.”</w:t>
      </w:r>
    </w:p>
    <w:p>
      <w:pPr>
        <w:spacing w:before="0" w:after="300"/>
      </w:pPr>
    </w:p>
    <w:p>
      <w:pPr>
        <w:spacing w:before="0" w:after="300"/>
      </w:pPr>
      <w:r>
        <w:rPr>
          <w:rFonts w:ascii="calibri" w:hAnsi="calibri" w:eastAsia="calibri" w:cs="calibri"/>
          <w:sz w:val="24"/>
          <w:szCs w:val="24"/>
          <w:b/>
        </w:rPr>
        <w:t xml:space="preserve">Znaczenie wyroku dla rynku i konsumentów</w:t>
      </w:r>
    </w:p>
    <w:p>
      <w:pPr>
        <w:spacing w:before="0" w:after="300"/>
      </w:pPr>
      <w:r>
        <w:rPr>
          <w:rFonts w:ascii="calibri" w:hAnsi="calibri" w:eastAsia="calibri" w:cs="calibri"/>
          <w:sz w:val="24"/>
          <w:szCs w:val="24"/>
        </w:rPr>
        <w:t xml:space="preserve">Orzeczenie europejskiego sądu to </w:t>
      </w:r>
      <w:r>
        <w:rPr>
          <w:rFonts w:ascii="calibri" w:hAnsi="calibri" w:eastAsia="calibri" w:cs="calibri"/>
          <w:sz w:val="24"/>
          <w:szCs w:val="24"/>
          <w:b/>
        </w:rPr>
        <w:t xml:space="preserve">kamień milowy</w:t>
      </w:r>
      <w:r>
        <w:rPr>
          <w:rFonts w:ascii="calibri" w:hAnsi="calibri" w:eastAsia="calibri" w:cs="calibri"/>
          <w:sz w:val="24"/>
          <w:szCs w:val="24"/>
        </w:rPr>
        <w:t xml:space="preserve"> w zakresie ochrony własności intelektualnej w branży urządzeń do przetwarzania żywności. Decyzja sądu wzmacnia pozycję Hurom jako innowatora i zaufanego producenta, oferującego rozwiązania zgodne z obowiązującym porządkiem prawnym oraz najwyższymi standardami technologicznymi.</w:t>
      </w:r>
    </w:p>
    <w:p>
      <w:pPr>
        <w:spacing w:before="0" w:after="300"/>
      </w:pPr>
      <w:r>
        <w:rPr>
          <w:rFonts w:ascii="calibri" w:hAnsi="calibri" w:eastAsia="calibri" w:cs="calibri"/>
          <w:sz w:val="24"/>
          <w:szCs w:val="24"/>
        </w:rPr>
        <w:t xml:space="preserve">Dla konsumentów wyrok stanowi gwarancję, że wybierając produkty marki Hurom, sięgają po urządzenia oryginalne, bezpieczne i oparte na rzeczywistej innowacji.</w:t>
      </w:r>
    </w:p>
    <w:p>
      <w:pPr>
        <w:spacing w:before="0" w:after="300"/>
      </w:pPr>
    </w:p>
    <w:p>
      <w:pPr>
        <w:spacing w:before="0" w:after="300"/>
      </w:pPr>
      <w:r>
        <w:rPr>
          <w:rFonts w:ascii="calibri" w:hAnsi="calibri" w:eastAsia="calibri" w:cs="calibri"/>
          <w:sz w:val="24"/>
          <w:szCs w:val="24"/>
          <w:b/>
        </w:rPr>
        <w:t xml:space="preserve">Dane sprawy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 europejskiego patentu Hurom</w:t>
      </w:r>
      <w:r>
        <w:rPr>
          <w:rFonts w:ascii="calibri" w:hAnsi="calibri" w:eastAsia="calibri" w:cs="calibri"/>
          <w:sz w:val="24"/>
          <w:szCs w:val="24"/>
        </w:rPr>
        <w:t xml:space="preserve">: EP2028981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Numery spraw przed UPC (Mannheim, Niemcy)</w:t>
      </w:r>
      <w:r>
        <w:rPr>
          <w:rFonts w:ascii="calibri" w:hAnsi="calibri" w:eastAsia="calibri" w:cs="calibri"/>
          <w:sz w:val="24"/>
          <w:szCs w:val="24"/>
        </w:rPr>
        <w:t xml:space="preserve">: PR_ACT_17336/2024, PR_ACT_17365/2024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wskazany jako naruszający patent</w:t>
      </w:r>
      <w:r>
        <w:rPr>
          <w:rFonts w:ascii="calibri" w:hAnsi="calibri" w:eastAsia="calibri" w:cs="calibri"/>
          <w:sz w:val="24"/>
          <w:szCs w:val="24"/>
        </w:rPr>
        <w:t xml:space="preserve">: Kuvings AUTO10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Sankcja finansowa za każde naruszenie</w:t>
      </w:r>
      <w:r>
        <w:rPr>
          <w:rFonts w:ascii="calibri" w:hAnsi="calibri" w:eastAsia="calibri" w:cs="calibri"/>
          <w:sz w:val="24"/>
          <w:szCs w:val="24"/>
        </w:rPr>
        <w:t xml:space="preserve">: 2 000 EUR</w:t>
      </w:r>
    </w:p>
    <w:p>
      <w:pPr>
        <w:spacing w:before="0" w:after="300"/>
      </w:pP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 </w:t>
      </w:r>
      <w:r>
        <w:rPr>
          <w:rFonts w:ascii="calibri" w:hAnsi="calibri" w:eastAsia="calibri" w:cs="calibri"/>
          <w:sz w:val="24"/>
          <w:szCs w:val="24"/>
          <w:i/>
          <w:iCs/>
        </w:rPr>
        <w:t xml:space="preserve">Dział Komunikacji Hurom Polska</w:t>
      </w:r>
    </w:p>
    <w:p>
      <w:r>
        <w:rPr>
          <w:rFonts w:ascii="calibri" w:hAnsi="calibri" w:eastAsia="calibri" w:cs="calibri"/>
          <w:sz w:val="24"/>
          <w:szCs w:val="24"/>
        </w:rPr>
        <w:t xml:space="preserve"> bok@hurom.pl</w:t>
      </w:r>
    </w:p>
    <w:p>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+48 447111655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2025-10-14T22:51:28+02:00</dcterms:created>
  <dcterms:modified xsi:type="dcterms:W3CDTF">2025-10-14T22:51:28+02:00</dcterms:modified>
</cp:coreProperties>
</file>

<file path=docProps/custom.xml><?xml version="1.0" encoding="utf-8"?>
<Properties xmlns="http://schemas.openxmlformats.org/officeDocument/2006/custom-properties" xmlns:vt="http://schemas.openxmlformats.org/officeDocument/2006/docPropsVTypes"/>
</file>